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3DA5" w14:textId="77777777" w:rsidR="00BD2687" w:rsidRPr="00BD2687" w:rsidRDefault="00C2125C" w:rsidP="00B73E7C">
      <w:pPr>
        <w:shd w:val="clear" w:color="auto" w:fill="00B050"/>
        <w:spacing w:after="0" w:line="240" w:lineRule="auto"/>
        <w:rPr>
          <w:rFonts w:ascii="Times New Roman" w:hAnsi="Times New Roman" w:cs="Times New Roman"/>
          <w:b/>
          <w:i/>
          <w:sz w:val="20"/>
        </w:rPr>
      </w:pPr>
      <w:r w:rsidRPr="00303CB0">
        <w:rPr>
          <w:rFonts w:ascii="Times New Roman" w:hAnsi="Times New Roman" w:cs="Times New Roman"/>
          <w:i/>
          <w:noProof/>
          <w:sz w:val="32"/>
        </w:rPr>
        <w:drawing>
          <wp:anchor distT="0" distB="0" distL="114300" distR="114300" simplePos="0" relativeHeight="251658240" behindDoc="0" locked="0" layoutInCell="1" allowOverlap="1" wp14:anchorId="0BC02D64" wp14:editId="669A195C">
            <wp:simplePos x="0" y="0"/>
            <wp:positionH relativeFrom="margin">
              <wp:align>center</wp:align>
            </wp:positionH>
            <wp:positionV relativeFrom="margin">
              <wp:posOffset>53227</wp:posOffset>
            </wp:positionV>
            <wp:extent cx="791845" cy="895985"/>
            <wp:effectExtent l="0" t="0" r="8255" b="0"/>
            <wp:wrapNone/>
            <wp:docPr id="1" name="Obrázek 1" descr="C:\Users\obecni urad\Documents\JÁ\vzory znaky\LITOŠICE znak barv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i urad\Documents\JÁ\vzory znaky\LITOŠICE znak barv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D72">
        <w:rPr>
          <w:rFonts w:ascii="Times New Roman" w:hAnsi="Times New Roman" w:cs="Times New Roman"/>
          <w:b/>
          <w:i/>
          <w:sz w:val="32"/>
        </w:rPr>
        <w:t xml:space="preserve">    </w:t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2071DB94" w14:textId="77777777" w:rsidR="00865626" w:rsidRDefault="00C2125C" w:rsidP="00865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BDBED" wp14:editId="67C0F673">
            <wp:simplePos x="0" y="0"/>
            <wp:positionH relativeFrom="margin">
              <wp:align>left</wp:align>
            </wp:positionH>
            <wp:positionV relativeFrom="page">
              <wp:posOffset>520065</wp:posOffset>
            </wp:positionV>
            <wp:extent cx="2562225" cy="628650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 t="39934" r="16584" b="37964"/>
                    <a:stretch/>
                  </pic:blipFill>
                  <pic:spPr bwMode="auto">
                    <a:xfrm>
                      <a:off x="0" y="0"/>
                      <a:ext cx="2562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CB0" w:rsidRPr="00BD2687">
        <w:rPr>
          <w:rFonts w:ascii="Times New Roman" w:hAnsi="Times New Roman" w:cs="Times New Roman"/>
          <w:b/>
          <w:i/>
          <w:color w:val="00B050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303CB0">
        <w:rPr>
          <w:rFonts w:ascii="Times New Roman" w:hAnsi="Times New Roman" w:cs="Times New Roman"/>
          <w:b/>
          <w:i/>
          <w:sz w:val="48"/>
        </w:rPr>
        <w:tab/>
      </w:r>
      <w:r w:rsidR="00303CB0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303CB0">
        <w:rPr>
          <w:rFonts w:ascii="Times New Roman" w:hAnsi="Times New Roman" w:cs="Times New Roman"/>
          <w:b/>
          <w:i/>
          <w:sz w:val="48"/>
        </w:rPr>
        <w:tab/>
      </w:r>
      <w:r w:rsidR="00BD2687">
        <w:rPr>
          <w:rFonts w:ascii="Times New Roman" w:hAnsi="Times New Roman" w:cs="Times New Roman"/>
          <w:b/>
          <w:i/>
          <w:sz w:val="48"/>
        </w:rPr>
        <w:tab/>
      </w:r>
    </w:p>
    <w:p w14:paraId="4B01812D" w14:textId="77777777" w:rsidR="00865626" w:rsidRPr="00865626" w:rsidRDefault="00865626" w:rsidP="00865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 w:rsidR="00C2125C">
        <w:rPr>
          <w:rFonts w:ascii="Times New Roman" w:hAnsi="Times New Roman" w:cs="Times New Roman"/>
          <w:i/>
          <w:sz w:val="32"/>
        </w:rPr>
        <w:tab/>
        <w:t xml:space="preserve"> </w:t>
      </w:r>
      <w:r w:rsidR="00BD2687" w:rsidRPr="00865626">
        <w:rPr>
          <w:rFonts w:ascii="Times New Roman" w:hAnsi="Times New Roman" w:cs="Times New Roman"/>
          <w:i/>
          <w:sz w:val="32"/>
        </w:rPr>
        <w:t>Obecní úřad Litošice</w:t>
      </w:r>
    </w:p>
    <w:p w14:paraId="13C56EF8" w14:textId="77777777" w:rsidR="00865626" w:rsidRPr="00865626" w:rsidRDefault="00303CB0" w:rsidP="000668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865"/>
        </w:tabs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="005F6D72" w:rsidRPr="00865626">
        <w:rPr>
          <w:rFonts w:ascii="Times New Roman" w:hAnsi="Times New Roman" w:cs="Times New Roman"/>
          <w:i/>
          <w:sz w:val="32"/>
        </w:rPr>
        <w:tab/>
      </w:r>
      <w:r w:rsidR="00932E61">
        <w:rPr>
          <w:rFonts w:ascii="Times New Roman" w:hAnsi="Times New Roman" w:cs="Times New Roman"/>
          <w:i/>
          <w:sz w:val="32"/>
        </w:rPr>
        <w:t xml:space="preserve">    </w:t>
      </w:r>
      <w:r w:rsidR="005F6D72" w:rsidRPr="00865626">
        <w:rPr>
          <w:rFonts w:ascii="Times New Roman" w:hAnsi="Times New Roman" w:cs="Times New Roman"/>
          <w:i/>
          <w:sz w:val="32"/>
        </w:rPr>
        <w:t>Litošice 27   53501 Přelouč</w:t>
      </w:r>
      <w:r w:rsidR="00816E23" w:rsidRPr="00865626">
        <w:rPr>
          <w:rFonts w:ascii="Times New Roman" w:hAnsi="Times New Roman" w:cs="Times New Roman"/>
          <w:i/>
          <w:sz w:val="32"/>
        </w:rPr>
        <w:tab/>
      </w:r>
    </w:p>
    <w:p w14:paraId="183EEED9" w14:textId="77777777" w:rsidR="00ED5B0D" w:rsidRDefault="00ED5B0D" w:rsidP="00B73E7C">
      <w:pPr>
        <w:shd w:val="clear" w:color="auto" w:fill="00B050"/>
        <w:rPr>
          <w:rFonts w:ascii="Times New Roman" w:hAnsi="Times New Roman" w:cs="Times New Roman"/>
          <w:sz w:val="18"/>
        </w:rPr>
      </w:pPr>
    </w:p>
    <w:p w14:paraId="15EEA795" w14:textId="77777777" w:rsidR="006416E2" w:rsidRDefault="006416E2" w:rsidP="006416E2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Městský úřad Přelouč</w:t>
      </w:r>
    </w:p>
    <w:p w14:paraId="7F9FC975" w14:textId="77777777" w:rsidR="006416E2" w:rsidRDefault="006416E2" w:rsidP="006416E2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Československé armády 1665</w:t>
      </w:r>
    </w:p>
    <w:p w14:paraId="30007A0A" w14:textId="77777777" w:rsidR="006416E2" w:rsidRDefault="006416E2" w:rsidP="006416E2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Přelouč 53501</w:t>
      </w:r>
    </w:p>
    <w:p w14:paraId="4FFC3448" w14:textId="77777777" w:rsidR="006416E2" w:rsidRDefault="006416E2" w:rsidP="006416E2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Odbor životního prostředí </w:t>
      </w:r>
    </w:p>
    <w:p w14:paraId="2E4F4AB9" w14:textId="196E8AFF" w:rsidR="000A3540" w:rsidRDefault="006416E2" w:rsidP="006416E2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Odbor stavební</w:t>
      </w:r>
    </w:p>
    <w:p w14:paraId="416804B5" w14:textId="77777777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E897742" w14:textId="7DFD35E3" w:rsidR="00222564" w:rsidRPr="006B7C01" w:rsidRDefault="006416E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7C01">
        <w:rPr>
          <w:rFonts w:ascii="Times New Roman" w:hAnsi="Times New Roman" w:cs="Times New Roman"/>
          <w:b/>
          <w:sz w:val="28"/>
          <w:szCs w:val="24"/>
        </w:rPr>
        <w:t>Věc: Žádost o informace</w:t>
      </w:r>
      <w:r w:rsidR="006B7C01" w:rsidRPr="006B7C01">
        <w:rPr>
          <w:rFonts w:ascii="Times New Roman" w:hAnsi="Times New Roman" w:cs="Times New Roman"/>
          <w:b/>
          <w:sz w:val="28"/>
          <w:szCs w:val="24"/>
        </w:rPr>
        <w:t xml:space="preserve"> k nepovolené stavbě oplocení na lesních pozemcích</w:t>
      </w:r>
    </w:p>
    <w:p w14:paraId="23F92CF9" w14:textId="77777777" w:rsidR="006416E2" w:rsidRPr="006B7C01" w:rsidRDefault="006416E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0"/>
        </w:rPr>
      </w:pPr>
    </w:p>
    <w:p w14:paraId="0AB10136" w14:textId="0B7CE58E" w:rsidR="00222564" w:rsidRDefault="00FB7F53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FB7F53">
        <w:rPr>
          <w:rFonts w:ascii="Times New Roman" w:hAnsi="Times New Roman" w:cs="Times New Roman"/>
          <w:bCs/>
          <w:sz w:val="24"/>
        </w:rPr>
        <w:t>Děkujeme za Vaše Sdělení</w:t>
      </w:r>
      <w:r>
        <w:rPr>
          <w:rFonts w:ascii="Times New Roman" w:hAnsi="Times New Roman" w:cs="Times New Roman"/>
          <w:bCs/>
          <w:sz w:val="24"/>
        </w:rPr>
        <w:t xml:space="preserve"> ze dne 20.1. 2022</w:t>
      </w:r>
      <w:r w:rsidRPr="00FB7F53">
        <w:rPr>
          <w:rFonts w:ascii="Times New Roman" w:hAnsi="Times New Roman" w:cs="Times New Roman"/>
          <w:bCs/>
          <w:sz w:val="24"/>
        </w:rPr>
        <w:t xml:space="preserve"> k Žádosti o prošetření nepovolené stavby a o informace</w:t>
      </w:r>
      <w:r>
        <w:rPr>
          <w:rFonts w:ascii="Times New Roman" w:hAnsi="Times New Roman" w:cs="Times New Roman"/>
          <w:bCs/>
          <w:sz w:val="24"/>
        </w:rPr>
        <w:t>“.</w:t>
      </w:r>
    </w:p>
    <w:p w14:paraId="517F1E20" w14:textId="76093E79" w:rsidR="00FB7F53" w:rsidRDefault="001473D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Ve sdělení Nás informujete, že došlo ke sjednocení stanoviska v tom, že nelze stavět oborní oplocení bez rozhodnutí o uznání obory, </w:t>
      </w:r>
      <w:r w:rsidR="00D012EF">
        <w:rPr>
          <w:rFonts w:ascii="Times New Roman" w:hAnsi="Times New Roman" w:cs="Times New Roman"/>
          <w:bCs/>
          <w:sz w:val="24"/>
        </w:rPr>
        <w:t>a že tedy nelze v současné době budovat stavbu dříve popsaného oplocení na lesních pozemcích bez příslušných povolení, ovšem nikde není uvedeno</w:t>
      </w:r>
      <w:r w:rsidR="00FE7097">
        <w:rPr>
          <w:rFonts w:ascii="Times New Roman" w:hAnsi="Times New Roman" w:cs="Times New Roman"/>
          <w:bCs/>
          <w:sz w:val="24"/>
        </w:rPr>
        <w:t>,</w:t>
      </w:r>
      <w:r w:rsidR="00D012EF">
        <w:rPr>
          <w:rFonts w:ascii="Times New Roman" w:hAnsi="Times New Roman" w:cs="Times New Roman"/>
          <w:bCs/>
          <w:sz w:val="24"/>
        </w:rPr>
        <w:t xml:space="preserve"> zda nějaké povolení, nebo závazné stanovisko bylo vydáno (předpokládáme, že nebylo), nebo zda je o něj zažádáno. </w:t>
      </w:r>
    </w:p>
    <w:p w14:paraId="5BAE8F48" w14:textId="77777777" w:rsidR="006B7C01" w:rsidRPr="006B7C01" w:rsidRDefault="006B7C01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2"/>
        </w:rPr>
      </w:pPr>
    </w:p>
    <w:p w14:paraId="6AD20EF8" w14:textId="72631734" w:rsidR="00D012EF" w:rsidRPr="00796CAA" w:rsidRDefault="00D012E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96CAA">
        <w:rPr>
          <w:rFonts w:ascii="Times New Roman" w:hAnsi="Times New Roman" w:cs="Times New Roman"/>
          <w:b/>
          <w:sz w:val="24"/>
        </w:rPr>
        <w:t>Žádáme tedy o informaci, zda bylo vydáno rozhodnutí</w:t>
      </w:r>
      <w:r w:rsidR="00FE7097" w:rsidRPr="00796CAA">
        <w:rPr>
          <w:rFonts w:ascii="Times New Roman" w:hAnsi="Times New Roman" w:cs="Times New Roman"/>
          <w:b/>
          <w:sz w:val="24"/>
        </w:rPr>
        <w:t>, případně závazné stanovisko</w:t>
      </w:r>
      <w:r w:rsidRPr="00796CAA">
        <w:rPr>
          <w:rFonts w:ascii="Times New Roman" w:hAnsi="Times New Roman" w:cs="Times New Roman"/>
          <w:b/>
          <w:sz w:val="24"/>
        </w:rPr>
        <w:t xml:space="preserve"> o uznání obory</w:t>
      </w:r>
      <w:r w:rsidR="00FE7097" w:rsidRPr="00796CAA">
        <w:rPr>
          <w:rFonts w:ascii="Times New Roman" w:hAnsi="Times New Roman" w:cs="Times New Roman"/>
          <w:b/>
          <w:sz w:val="24"/>
        </w:rPr>
        <w:t>, nebo zda bylo o podobné stanovisko, nebo rozhodnutí zažádáno u místně příslušného orgánu státní správy. Jedná se o lesní pozemky většinou ve vlastnictví spol. Enlino a.s. mezi obcemi Litošice, Svobodná Ves a Semtěš</w:t>
      </w:r>
      <w:r w:rsidR="00F90F60" w:rsidRPr="00796CAA">
        <w:rPr>
          <w:rFonts w:ascii="Times New Roman" w:hAnsi="Times New Roman" w:cs="Times New Roman"/>
          <w:b/>
          <w:sz w:val="24"/>
        </w:rPr>
        <w:t>í</w:t>
      </w:r>
      <w:r w:rsidR="00FE7097" w:rsidRPr="00796CAA">
        <w:rPr>
          <w:rFonts w:ascii="Times New Roman" w:hAnsi="Times New Roman" w:cs="Times New Roman"/>
          <w:b/>
          <w:sz w:val="24"/>
        </w:rPr>
        <w:t>.</w:t>
      </w:r>
      <w:r w:rsidR="00796CAA">
        <w:rPr>
          <w:rFonts w:ascii="Times New Roman" w:hAnsi="Times New Roman" w:cs="Times New Roman"/>
          <w:b/>
          <w:sz w:val="24"/>
        </w:rPr>
        <w:t xml:space="preserve"> Dále žádáme o informaci</w:t>
      </w:r>
      <w:r w:rsidR="006416E2">
        <w:rPr>
          <w:rFonts w:ascii="Times New Roman" w:hAnsi="Times New Roman" w:cs="Times New Roman"/>
          <w:b/>
          <w:sz w:val="24"/>
        </w:rPr>
        <w:t>,</w:t>
      </w:r>
      <w:r w:rsidR="00796CAA">
        <w:rPr>
          <w:rFonts w:ascii="Times New Roman" w:hAnsi="Times New Roman" w:cs="Times New Roman"/>
          <w:b/>
          <w:sz w:val="24"/>
        </w:rPr>
        <w:t xml:space="preserve"> zda bylo vydáno, nebo je zažádáno o povolení stavby oborního oplocení</w:t>
      </w:r>
      <w:r w:rsidR="00DB2429">
        <w:rPr>
          <w:rFonts w:ascii="Times New Roman" w:hAnsi="Times New Roman" w:cs="Times New Roman"/>
          <w:b/>
          <w:sz w:val="24"/>
        </w:rPr>
        <w:t xml:space="preserve"> na výše popsaných pozemcích</w:t>
      </w:r>
      <w:r w:rsidR="00796CAA">
        <w:rPr>
          <w:rFonts w:ascii="Times New Roman" w:hAnsi="Times New Roman" w:cs="Times New Roman"/>
          <w:b/>
          <w:sz w:val="24"/>
        </w:rPr>
        <w:t>.</w:t>
      </w:r>
    </w:p>
    <w:p w14:paraId="6FE2A49D" w14:textId="64D20B93" w:rsidR="00F90F60" w:rsidRPr="006B7C01" w:rsidRDefault="00F90F60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2"/>
        </w:rPr>
      </w:pPr>
    </w:p>
    <w:p w14:paraId="69130002" w14:textId="7703573B" w:rsidR="00F90F60" w:rsidRDefault="00F90F60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Co se týká sdělení, že činíte další kroky k prověření našeho podání, chceme toto doplnit o informace, že jsme si osobně provedli šetření na místě a stavba oplocení probíhá denně pokud to dovolí přírodní podmínky a oplocení je již v rozsahu stovek metrů a stále se rozrůstá.</w:t>
      </w:r>
      <w:r w:rsidR="00DB2429">
        <w:rPr>
          <w:rFonts w:ascii="Times New Roman" w:hAnsi="Times New Roman" w:cs="Times New Roman"/>
          <w:bCs/>
          <w:sz w:val="24"/>
        </w:rPr>
        <w:t xml:space="preserve"> Pokud se jedná o nepovolenou stavbu, žádáme, aby tato nepovolená stavba byla odstraněna.</w:t>
      </w:r>
    </w:p>
    <w:p w14:paraId="62B1991B" w14:textId="524B8523" w:rsidR="00701177" w:rsidRPr="006B7C01" w:rsidRDefault="00701177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2"/>
        </w:rPr>
      </w:pPr>
    </w:p>
    <w:p w14:paraId="363F71DF" w14:textId="610E80B2" w:rsidR="00701177" w:rsidRDefault="00701177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Co se týká možného řízení ve věci přestupku, uznáváme, že není důvod abychom jako obec byli účastníkem řízení, ale jelikož se rozhoduje o oplocení jedné třetiny našeho katastru</w:t>
      </w:r>
      <w:r w:rsidR="00C83FC6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B56BF5">
        <w:rPr>
          <w:rFonts w:ascii="Times New Roman" w:hAnsi="Times New Roman" w:cs="Times New Roman"/>
          <w:bCs/>
          <w:sz w:val="24"/>
        </w:rPr>
        <w:t>a to i pozemků s kterými přímo sousedí pozemky obce (a to nejen Litošic) a dochází k omezování práv občanů</w:t>
      </w:r>
      <w:r w:rsidR="00C83FC6">
        <w:rPr>
          <w:rFonts w:ascii="Times New Roman" w:hAnsi="Times New Roman" w:cs="Times New Roman"/>
          <w:bCs/>
          <w:sz w:val="24"/>
        </w:rPr>
        <w:t>,</w:t>
      </w:r>
      <w:r w:rsidR="00B56BF5">
        <w:rPr>
          <w:rFonts w:ascii="Times New Roman" w:hAnsi="Times New Roman" w:cs="Times New Roman"/>
          <w:bCs/>
          <w:sz w:val="24"/>
        </w:rPr>
        <w:t xml:space="preserve"> a to nejen z okolních obcí, jsme přesvědčeni, že máme právo na to být informováni alespoň o tom</w:t>
      </w:r>
      <w:r w:rsidR="00C83FC6">
        <w:rPr>
          <w:rFonts w:ascii="Times New Roman" w:hAnsi="Times New Roman" w:cs="Times New Roman"/>
          <w:bCs/>
          <w:sz w:val="24"/>
        </w:rPr>
        <w:t>, zda příslušný orgán zahájil na základě našeho podnětu nějaké řízení nebo zda to odložil. Myslíme si, že když někdo podá podnět k prošetření, měl by být informován i bez žádosti o tyto informace</w:t>
      </w:r>
      <w:r w:rsidR="000367CA">
        <w:rPr>
          <w:rFonts w:ascii="Times New Roman" w:hAnsi="Times New Roman" w:cs="Times New Roman"/>
          <w:bCs/>
          <w:sz w:val="24"/>
        </w:rPr>
        <w:t>.</w:t>
      </w:r>
    </w:p>
    <w:p w14:paraId="046C2514" w14:textId="77777777" w:rsidR="00135F61" w:rsidRPr="006B7C01" w:rsidRDefault="00135F61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2"/>
        </w:rPr>
      </w:pPr>
    </w:p>
    <w:p w14:paraId="326224AC" w14:textId="4054641B" w:rsidR="000367CA" w:rsidRPr="00DB2429" w:rsidRDefault="00135F61" w:rsidP="0013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B2429">
        <w:rPr>
          <w:rFonts w:ascii="Times New Roman" w:hAnsi="Times New Roman" w:cs="Times New Roman"/>
          <w:b/>
          <w:sz w:val="24"/>
        </w:rPr>
        <w:t>Ž</w:t>
      </w:r>
      <w:r w:rsidR="000367CA" w:rsidRPr="00DB2429">
        <w:rPr>
          <w:rFonts w:ascii="Times New Roman" w:hAnsi="Times New Roman" w:cs="Times New Roman"/>
          <w:b/>
          <w:sz w:val="24"/>
        </w:rPr>
        <w:t>ádáme tedy tímto o informace, jak dopadlo naše podání – podnět k výše popsanému. Zda bylo zahájeno, nebo probíhá řízení na základě našeho podnětu ohledně výše popsané stavby oborního oplocení na lesních pozemcích</w:t>
      </w:r>
      <w:r w:rsidRPr="00DB2429">
        <w:rPr>
          <w:rFonts w:ascii="Times New Roman" w:hAnsi="Times New Roman" w:cs="Times New Roman"/>
          <w:b/>
          <w:sz w:val="24"/>
        </w:rPr>
        <w:t>.</w:t>
      </w:r>
      <w:r w:rsidR="000367CA" w:rsidRPr="00DB2429">
        <w:rPr>
          <w:rFonts w:ascii="Times New Roman" w:hAnsi="Times New Roman" w:cs="Times New Roman"/>
          <w:b/>
          <w:sz w:val="24"/>
        </w:rPr>
        <w:t xml:space="preserve"> Nebo zda probíhá, nebo bude zahájeno, nějaké řízení o zásahu do významného kraji</w:t>
      </w:r>
      <w:r w:rsidRPr="00DB2429">
        <w:rPr>
          <w:rFonts w:ascii="Times New Roman" w:hAnsi="Times New Roman" w:cs="Times New Roman"/>
          <w:b/>
          <w:sz w:val="24"/>
        </w:rPr>
        <w:t>n</w:t>
      </w:r>
      <w:r w:rsidR="000367CA" w:rsidRPr="00DB2429">
        <w:rPr>
          <w:rFonts w:ascii="Times New Roman" w:hAnsi="Times New Roman" w:cs="Times New Roman"/>
          <w:b/>
          <w:sz w:val="24"/>
        </w:rPr>
        <w:t>ného prvku</w:t>
      </w:r>
      <w:r w:rsidRPr="00DB2429">
        <w:rPr>
          <w:rFonts w:ascii="Times New Roman" w:hAnsi="Times New Roman" w:cs="Times New Roman"/>
          <w:b/>
          <w:sz w:val="24"/>
        </w:rPr>
        <w:t xml:space="preserve"> tamtéž.</w:t>
      </w:r>
    </w:p>
    <w:p w14:paraId="5F32546B" w14:textId="28DD6AD5" w:rsidR="00135F61" w:rsidRPr="006B7C01" w:rsidRDefault="00135F61" w:rsidP="0013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2"/>
        </w:rPr>
      </w:pPr>
    </w:p>
    <w:p w14:paraId="39EBE6C6" w14:textId="55B292D8" w:rsidR="00796CAA" w:rsidRPr="00796CAA" w:rsidRDefault="00135F61" w:rsidP="00796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416E2">
        <w:rPr>
          <w:rFonts w:ascii="Times New Roman" w:hAnsi="Times New Roman" w:cs="Times New Roman"/>
          <w:b/>
          <w:sz w:val="24"/>
        </w:rPr>
        <w:t>Dále žádáme</w:t>
      </w:r>
      <w:r w:rsidR="00796CAA" w:rsidRPr="006416E2">
        <w:rPr>
          <w:rFonts w:ascii="Times New Roman" w:hAnsi="Times New Roman" w:cs="Times New Roman"/>
          <w:b/>
          <w:sz w:val="24"/>
        </w:rPr>
        <w:t>,</w:t>
      </w:r>
      <w:r w:rsidRPr="006416E2">
        <w:rPr>
          <w:rFonts w:ascii="Times New Roman" w:hAnsi="Times New Roman" w:cs="Times New Roman"/>
          <w:b/>
          <w:sz w:val="24"/>
        </w:rPr>
        <w:t xml:space="preserve"> pokud by mělo dojít k zahájení řízení, nebo vydání závazného stanoviska, které by se týkalo rozhodnutí o uznání obory a následně o povolení stavby oborního oplocení, aby obec Litošice byla účastníkem těchto řízení,</w:t>
      </w:r>
      <w:r w:rsidR="004D671F">
        <w:rPr>
          <w:rFonts w:ascii="Times New Roman" w:hAnsi="Times New Roman" w:cs="Times New Roman"/>
          <w:bCs/>
          <w:sz w:val="24"/>
        </w:rPr>
        <w:t xml:space="preserve"> neboť v tomto případě bychom byli přímými sousedy této stavby a zároveň zastupujeme naše občany, jejichž práva jsou stavbou oplocení dotčena, neboť </w:t>
      </w:r>
      <w:r w:rsidR="00796CAA">
        <w:rPr>
          <w:rFonts w:ascii="Times New Roman" w:hAnsi="Times New Roman" w:cs="Times New Roman"/>
          <w:bCs/>
          <w:sz w:val="24"/>
        </w:rPr>
        <w:t>lidé mají zákonem zaručené právo na volný průchod krajinou a užívání lesa.</w:t>
      </w:r>
    </w:p>
    <w:p w14:paraId="43882D1D" w14:textId="77777777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A3789B9" w14:textId="56A8D405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725F">
        <w:rPr>
          <w:rFonts w:ascii="Times New Roman" w:hAnsi="Times New Roman" w:cs="Times New Roman"/>
          <w:sz w:val="24"/>
        </w:rPr>
        <w:t xml:space="preserve">V Litošicích </w:t>
      </w:r>
      <w:r w:rsidR="006416E2">
        <w:rPr>
          <w:rFonts w:ascii="Times New Roman" w:hAnsi="Times New Roman" w:cs="Times New Roman"/>
          <w:sz w:val="24"/>
        </w:rPr>
        <w:t>24.1. 2022</w:t>
      </w:r>
    </w:p>
    <w:p w14:paraId="15B71004" w14:textId="25DAA72C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AEE35F5" w14:textId="77777777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98BCF1" w14:textId="77777777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</w:t>
      </w:r>
    </w:p>
    <w:p w14:paraId="71952138" w14:textId="77777777" w:rsidR="00B9725F" w:rsidRP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Březina </w:t>
      </w:r>
      <w:r w:rsidR="00CA3264">
        <w:rPr>
          <w:rFonts w:ascii="Times New Roman" w:hAnsi="Times New Roman" w:cs="Times New Roman"/>
          <w:sz w:val="24"/>
        </w:rPr>
        <w:t>Miroslav</w:t>
      </w:r>
      <w:r>
        <w:rPr>
          <w:rFonts w:ascii="Times New Roman" w:hAnsi="Times New Roman" w:cs="Times New Roman"/>
          <w:sz w:val="24"/>
        </w:rPr>
        <w:t xml:space="preserve"> – starosta obce</w:t>
      </w:r>
    </w:p>
    <w:p w14:paraId="6DCF0022" w14:textId="77777777" w:rsidR="00C008DA" w:rsidRDefault="00C008DA" w:rsidP="00EE3728">
      <w:pPr>
        <w:spacing w:after="0" w:line="240" w:lineRule="auto"/>
      </w:pPr>
    </w:p>
    <w:p w14:paraId="39450BAB" w14:textId="77777777" w:rsidR="00ED5B0D" w:rsidRPr="00A05C58" w:rsidRDefault="00ED5B0D" w:rsidP="000668D0">
      <w:pPr>
        <w:pBdr>
          <w:top w:val="single" w:sz="4" w:space="1" w:color="auto"/>
        </w:pBdr>
        <w:spacing w:after="0" w:line="240" w:lineRule="auto"/>
      </w:pPr>
      <w:r>
        <w:rPr>
          <w:sz w:val="16"/>
        </w:rPr>
        <w:t xml:space="preserve">Obec Litošice, Litošice 27, </w:t>
      </w:r>
      <w:proofErr w:type="gramStart"/>
      <w:r>
        <w:rPr>
          <w:sz w:val="16"/>
        </w:rPr>
        <w:t>535  01</w:t>
      </w:r>
      <w:proofErr w:type="gramEnd"/>
      <w:r>
        <w:rPr>
          <w:sz w:val="16"/>
        </w:rPr>
        <w:t xml:space="preserve"> Přelouč</w:t>
      </w:r>
      <w:r>
        <w:rPr>
          <w:sz w:val="16"/>
        </w:rPr>
        <w:tab/>
      </w:r>
      <w:r>
        <w:rPr>
          <w:sz w:val="16"/>
        </w:rPr>
        <w:tab/>
        <w:t>bankovní účet číslo 31827561/0100  vedený u Komerční banky v Pardubicích</w:t>
      </w:r>
    </w:p>
    <w:p w14:paraId="28DD6794" w14:textId="77777777" w:rsidR="00ED5B0D" w:rsidRDefault="00ED5B0D" w:rsidP="000668D0">
      <w:pPr>
        <w:spacing w:after="0" w:line="240" w:lineRule="auto"/>
        <w:rPr>
          <w:sz w:val="16"/>
        </w:rPr>
      </w:pPr>
      <w:r>
        <w:rPr>
          <w:sz w:val="16"/>
        </w:rPr>
        <w:t>IČ 00580562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telefon: 466 977 012</w:t>
      </w:r>
      <w:r>
        <w:rPr>
          <w:sz w:val="16"/>
        </w:rPr>
        <w:tab/>
        <w:t xml:space="preserve">        ID datové schránky: s5pazn7</w:t>
      </w:r>
    </w:p>
    <w:p w14:paraId="50DB650B" w14:textId="77777777" w:rsidR="00ED5B0D" w:rsidRDefault="00ED5B0D" w:rsidP="000668D0">
      <w:pPr>
        <w:spacing w:after="0" w:line="240" w:lineRule="auto"/>
        <w:rPr>
          <w:sz w:val="16"/>
        </w:rPr>
      </w:pPr>
      <w:r>
        <w:rPr>
          <w:sz w:val="16"/>
        </w:rPr>
        <w:t xml:space="preserve">Úřední den: pondělí od </w:t>
      </w:r>
      <w:proofErr w:type="gramStart"/>
      <w:r>
        <w:rPr>
          <w:sz w:val="16"/>
        </w:rPr>
        <w:t>18 – 19</w:t>
      </w:r>
      <w:proofErr w:type="gramEnd"/>
      <w:r>
        <w:rPr>
          <w:sz w:val="16"/>
        </w:rPr>
        <w:t xml:space="preserve"> hodin</w:t>
      </w:r>
      <w:r>
        <w:rPr>
          <w:sz w:val="16"/>
        </w:rPr>
        <w:tab/>
      </w:r>
      <w:r>
        <w:rPr>
          <w:sz w:val="16"/>
        </w:rPr>
        <w:tab/>
      </w:r>
      <w:hyperlink r:id="rId10" w:history="1">
        <w:r w:rsidRPr="00DC15C1">
          <w:rPr>
            <w:rStyle w:val="Hypertextovodkaz"/>
            <w:sz w:val="16"/>
          </w:rPr>
          <w:t>www.litosice.cz</w:t>
        </w:r>
      </w:hyperlink>
      <w:r>
        <w:rPr>
          <w:sz w:val="16"/>
        </w:rPr>
        <w:t xml:space="preserve">                 </w:t>
      </w:r>
      <w:hyperlink r:id="rId11" w:history="1">
        <w:r w:rsidRPr="00945E7F">
          <w:rPr>
            <w:rStyle w:val="Hypertextovodkaz"/>
            <w:sz w:val="16"/>
          </w:rPr>
          <w:t>info@litosice.cz</w:t>
        </w:r>
      </w:hyperlink>
    </w:p>
    <w:sectPr w:rsidR="00ED5B0D" w:rsidSect="00FA2E64">
      <w:pgSz w:w="11906" w:h="16838"/>
      <w:pgMar w:top="567" w:right="1134" w:bottom="567" w:left="113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7FF3" w14:textId="77777777" w:rsidR="006B3B4C" w:rsidRDefault="006B3B4C" w:rsidP="00FA2E64">
      <w:pPr>
        <w:spacing w:after="0" w:line="240" w:lineRule="auto"/>
      </w:pPr>
      <w:r>
        <w:separator/>
      </w:r>
    </w:p>
  </w:endnote>
  <w:endnote w:type="continuationSeparator" w:id="0">
    <w:p w14:paraId="429E16C9" w14:textId="77777777" w:rsidR="006B3B4C" w:rsidRDefault="006B3B4C" w:rsidP="00FA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1D75" w14:textId="77777777" w:rsidR="006B3B4C" w:rsidRDefault="006B3B4C" w:rsidP="00FA2E64">
      <w:pPr>
        <w:spacing w:after="0" w:line="240" w:lineRule="auto"/>
      </w:pPr>
      <w:r>
        <w:separator/>
      </w:r>
    </w:p>
  </w:footnote>
  <w:footnote w:type="continuationSeparator" w:id="0">
    <w:p w14:paraId="371180A8" w14:textId="77777777" w:rsidR="006B3B4C" w:rsidRDefault="006B3B4C" w:rsidP="00FA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2CA4"/>
    <w:multiLevelType w:val="hybridMultilevel"/>
    <w:tmpl w:val="16307218"/>
    <w:lvl w:ilvl="0" w:tplc="167617F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5F299A"/>
    <w:multiLevelType w:val="hybridMultilevel"/>
    <w:tmpl w:val="25A4499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A4BFF"/>
    <w:multiLevelType w:val="hybridMultilevel"/>
    <w:tmpl w:val="64CEAC0E"/>
    <w:lvl w:ilvl="0" w:tplc="84703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46343"/>
    <w:multiLevelType w:val="hybridMultilevel"/>
    <w:tmpl w:val="CA3CF3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2"/>
    <w:rsid w:val="0001412C"/>
    <w:rsid w:val="000367CA"/>
    <w:rsid w:val="00066059"/>
    <w:rsid w:val="000668D0"/>
    <w:rsid w:val="00077DB9"/>
    <w:rsid w:val="00080C0E"/>
    <w:rsid w:val="000927D8"/>
    <w:rsid w:val="000A3540"/>
    <w:rsid w:val="000D5452"/>
    <w:rsid w:val="000E0CC0"/>
    <w:rsid w:val="000E78E7"/>
    <w:rsid w:val="00135F61"/>
    <w:rsid w:val="001408C9"/>
    <w:rsid w:val="001473D2"/>
    <w:rsid w:val="001D03B6"/>
    <w:rsid w:val="001E14D7"/>
    <w:rsid w:val="001E5EBD"/>
    <w:rsid w:val="00213A98"/>
    <w:rsid w:val="00222564"/>
    <w:rsid w:val="00261A0B"/>
    <w:rsid w:val="002622FC"/>
    <w:rsid w:val="002A14CB"/>
    <w:rsid w:val="002D69CB"/>
    <w:rsid w:val="002F6901"/>
    <w:rsid w:val="00303CB0"/>
    <w:rsid w:val="0035586E"/>
    <w:rsid w:val="003A7859"/>
    <w:rsid w:val="003D323D"/>
    <w:rsid w:val="003D5345"/>
    <w:rsid w:val="004261CC"/>
    <w:rsid w:val="0049595F"/>
    <w:rsid w:val="004B0B7F"/>
    <w:rsid w:val="004B31A0"/>
    <w:rsid w:val="004B5CDE"/>
    <w:rsid w:val="004D671F"/>
    <w:rsid w:val="005116AF"/>
    <w:rsid w:val="005F190A"/>
    <w:rsid w:val="005F6D72"/>
    <w:rsid w:val="005F7B3A"/>
    <w:rsid w:val="00617A26"/>
    <w:rsid w:val="0063468C"/>
    <w:rsid w:val="006416E2"/>
    <w:rsid w:val="00647C86"/>
    <w:rsid w:val="00657334"/>
    <w:rsid w:val="006B3B4C"/>
    <w:rsid w:val="006B7C01"/>
    <w:rsid w:val="006C177D"/>
    <w:rsid w:val="00701177"/>
    <w:rsid w:val="00741A83"/>
    <w:rsid w:val="007554CB"/>
    <w:rsid w:val="00796CAA"/>
    <w:rsid w:val="007A072A"/>
    <w:rsid w:val="007A5169"/>
    <w:rsid w:val="007B6346"/>
    <w:rsid w:val="00803CD4"/>
    <w:rsid w:val="00816E23"/>
    <w:rsid w:val="00835216"/>
    <w:rsid w:val="00865626"/>
    <w:rsid w:val="00871F74"/>
    <w:rsid w:val="008D2307"/>
    <w:rsid w:val="008E3943"/>
    <w:rsid w:val="00903497"/>
    <w:rsid w:val="00932E61"/>
    <w:rsid w:val="009712CB"/>
    <w:rsid w:val="00AA10F6"/>
    <w:rsid w:val="00B02106"/>
    <w:rsid w:val="00B56095"/>
    <w:rsid w:val="00B56BF5"/>
    <w:rsid w:val="00B73E7C"/>
    <w:rsid w:val="00B75A41"/>
    <w:rsid w:val="00B9725F"/>
    <w:rsid w:val="00B97982"/>
    <w:rsid w:val="00BA3943"/>
    <w:rsid w:val="00BA6093"/>
    <w:rsid w:val="00BD2687"/>
    <w:rsid w:val="00BF392E"/>
    <w:rsid w:val="00C008DA"/>
    <w:rsid w:val="00C17B84"/>
    <w:rsid w:val="00C2125C"/>
    <w:rsid w:val="00C30734"/>
    <w:rsid w:val="00C73E5B"/>
    <w:rsid w:val="00C83FC6"/>
    <w:rsid w:val="00C943D0"/>
    <w:rsid w:val="00C953EA"/>
    <w:rsid w:val="00C96F9E"/>
    <w:rsid w:val="00CA3264"/>
    <w:rsid w:val="00D012EF"/>
    <w:rsid w:val="00D214F5"/>
    <w:rsid w:val="00D3010C"/>
    <w:rsid w:val="00D40E01"/>
    <w:rsid w:val="00D539D5"/>
    <w:rsid w:val="00D64CCF"/>
    <w:rsid w:val="00DB2429"/>
    <w:rsid w:val="00DB34AB"/>
    <w:rsid w:val="00DB59C0"/>
    <w:rsid w:val="00E54E18"/>
    <w:rsid w:val="00ED5B0D"/>
    <w:rsid w:val="00EE3728"/>
    <w:rsid w:val="00EF2914"/>
    <w:rsid w:val="00F20199"/>
    <w:rsid w:val="00F90F60"/>
    <w:rsid w:val="00FA2E64"/>
    <w:rsid w:val="00FB7F53"/>
    <w:rsid w:val="00FC505D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0947"/>
  <w15:docId w15:val="{82D24E6E-7DC7-4EDD-8C04-E4DC4827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E2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D5B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22FC"/>
    <w:pPr>
      <w:ind w:left="720"/>
      <w:contextualSpacing/>
    </w:pPr>
    <w:rPr>
      <w:rFonts w:ascii="Calibri" w:eastAsia="Calibri" w:hAnsi="Calibri" w:cs="Times New Roman"/>
    </w:rPr>
  </w:style>
  <w:style w:type="character" w:styleId="Zmnka">
    <w:name w:val="Mention"/>
    <w:basedOn w:val="Standardnpsmoodstavce"/>
    <w:uiPriority w:val="99"/>
    <w:semiHidden/>
    <w:unhideWhenUsed/>
    <w:rsid w:val="00871F74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FA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E64"/>
  </w:style>
  <w:style w:type="paragraph" w:styleId="Zpat">
    <w:name w:val="footer"/>
    <w:basedOn w:val="Normln"/>
    <w:link w:val="ZpatChar"/>
    <w:uiPriority w:val="99"/>
    <w:unhideWhenUsed/>
    <w:rsid w:val="00FA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E64"/>
  </w:style>
  <w:style w:type="paragraph" w:styleId="Normlnweb">
    <w:name w:val="Normal (Web)"/>
    <w:basedOn w:val="Normln"/>
    <w:semiHidden/>
    <w:unhideWhenUsed/>
    <w:rsid w:val="000A35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itos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tos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esklý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25577-5760-4BF5-9316-D8EF81E7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Litošice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Data</cp:lastModifiedBy>
  <cp:revision>2</cp:revision>
  <cp:lastPrinted>2018-12-17T18:14:00Z</cp:lastPrinted>
  <dcterms:created xsi:type="dcterms:W3CDTF">2022-01-22T19:53:00Z</dcterms:created>
  <dcterms:modified xsi:type="dcterms:W3CDTF">2022-01-22T19:53:00Z</dcterms:modified>
</cp:coreProperties>
</file>